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CEF3" w14:textId="77777777" w:rsidR="00512847" w:rsidRPr="00AC0BE2" w:rsidRDefault="00512847" w:rsidP="00512847">
      <w:pPr>
        <w:snapToGrid w:val="0"/>
        <w:spacing w:line="360" w:lineRule="exact"/>
        <w:jc w:val="center"/>
        <w:rPr>
          <w:rFonts w:ascii="標楷體" w:eastAsia="標楷體" w:hAnsi="標楷體"/>
          <w:b/>
          <w:color w:val="000000"/>
          <w:sz w:val="40"/>
          <w:szCs w:val="40"/>
        </w:rPr>
      </w:pPr>
      <w:r>
        <w:rPr>
          <w:rFonts w:ascii="標楷體" w:eastAsia="標楷體" w:hAnsi="標楷體" w:hint="eastAsia"/>
          <w:b/>
          <w:sz w:val="40"/>
          <w:szCs w:val="40"/>
        </w:rPr>
        <w:t>國立土庫商工</w:t>
      </w:r>
      <w:r w:rsidRPr="00650429">
        <w:rPr>
          <w:rFonts w:ascii="標楷體" w:eastAsia="標楷體" w:hAnsi="標楷體" w:hint="eastAsia"/>
          <w:b/>
          <w:sz w:val="40"/>
          <w:szCs w:val="40"/>
        </w:rPr>
        <w:t>課業輔導</w:t>
      </w:r>
      <w:r w:rsidRPr="00AC0BE2">
        <w:rPr>
          <w:rFonts w:ascii="標楷體" w:eastAsia="標楷體" w:hAnsi="標楷體" w:hint="eastAsia"/>
          <w:b/>
          <w:color w:val="000000"/>
          <w:sz w:val="40"/>
          <w:szCs w:val="40"/>
        </w:rPr>
        <w:t>實施</w:t>
      </w:r>
      <w:r>
        <w:rPr>
          <w:rFonts w:ascii="標楷體" w:eastAsia="標楷體" w:hAnsi="標楷體" w:hint="eastAsia"/>
          <w:b/>
          <w:color w:val="000000"/>
          <w:sz w:val="40"/>
          <w:szCs w:val="40"/>
        </w:rPr>
        <w:t>計畫</w:t>
      </w:r>
    </w:p>
    <w:p w14:paraId="09EC250F" w14:textId="77777777"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b/>
          <w:color w:val="000000"/>
          <w:sz w:val="20"/>
          <w:szCs w:val="20"/>
        </w:rPr>
        <w:t xml:space="preserve">                                </w:t>
      </w:r>
      <w:r w:rsidRPr="00AC0BE2">
        <w:rPr>
          <w:rFonts w:ascii="標楷體" w:eastAsia="標楷體" w:hAnsi="標楷體" w:hint="eastAsia"/>
          <w:color w:val="000000"/>
          <w:sz w:val="20"/>
          <w:szCs w:val="20"/>
        </w:rPr>
        <w:t>109年2月24日108學年度第二學期第1次教學研究會暨教務會議討論</w:t>
      </w:r>
    </w:p>
    <w:p w14:paraId="43566FB0" w14:textId="77777777"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color w:val="000000"/>
          <w:sz w:val="20"/>
          <w:szCs w:val="20"/>
        </w:rPr>
        <w:t xml:space="preserve">                                                                    109年3月23日行政會議修正</w:t>
      </w:r>
    </w:p>
    <w:p w14:paraId="66079877" w14:textId="77777777"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color w:val="000000"/>
          <w:sz w:val="20"/>
          <w:szCs w:val="20"/>
        </w:rPr>
        <w:t xml:space="preserve">                                                                    109年4月20日行政會議修正</w:t>
      </w:r>
    </w:p>
    <w:p w14:paraId="4C70EBCA" w14:textId="77777777"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color w:val="000000"/>
          <w:sz w:val="20"/>
          <w:szCs w:val="20"/>
        </w:rPr>
        <w:t xml:space="preserve">                                                                    109年6月29日行政會議修正</w:t>
      </w:r>
    </w:p>
    <w:p w14:paraId="23128711" w14:textId="77777777"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color w:val="000000"/>
          <w:sz w:val="20"/>
          <w:szCs w:val="20"/>
        </w:rPr>
        <w:t xml:space="preserve">                                                                    109年7月14日校務會議通過</w:t>
      </w:r>
    </w:p>
    <w:p w14:paraId="18D4531F" w14:textId="0E402352" w:rsidR="00512847" w:rsidRPr="00AC0BE2"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color w:val="000000"/>
          <w:sz w:val="20"/>
          <w:szCs w:val="20"/>
        </w:rPr>
        <w:t xml:space="preserve">      </w:t>
      </w:r>
      <w:r w:rsidR="00CA2CB6">
        <w:rPr>
          <w:rFonts w:ascii="標楷體" w:eastAsia="標楷體" w:hAnsi="標楷體" w:hint="eastAsia"/>
          <w:color w:val="000000"/>
          <w:sz w:val="20"/>
          <w:szCs w:val="20"/>
        </w:rPr>
        <w:t xml:space="preserve"> </w:t>
      </w:r>
      <w:r w:rsidRPr="00AC0BE2">
        <w:rPr>
          <w:rFonts w:ascii="標楷體" w:eastAsia="標楷體" w:hAnsi="標楷體" w:hint="eastAsia"/>
          <w:color w:val="000000"/>
          <w:sz w:val="20"/>
          <w:szCs w:val="20"/>
        </w:rPr>
        <w:t>111年10月24日行政會議修正通過</w:t>
      </w:r>
    </w:p>
    <w:p w14:paraId="24858BBA" w14:textId="77777777" w:rsidR="00512847" w:rsidRDefault="00512847" w:rsidP="00CA2CB6">
      <w:pPr>
        <w:snapToGrid w:val="0"/>
        <w:spacing w:line="360" w:lineRule="exact"/>
        <w:ind w:rightChars="49" w:right="118"/>
        <w:jc w:val="right"/>
        <w:rPr>
          <w:rFonts w:ascii="標楷體" w:eastAsia="標楷體" w:hAnsi="標楷體"/>
          <w:color w:val="000000"/>
          <w:sz w:val="20"/>
          <w:szCs w:val="20"/>
        </w:rPr>
      </w:pPr>
      <w:r w:rsidRPr="00AC0BE2">
        <w:rPr>
          <w:rFonts w:ascii="標楷體" w:eastAsia="標楷體" w:hAnsi="標楷體" w:hint="eastAsia"/>
          <w:color w:val="000000"/>
          <w:sz w:val="20"/>
          <w:szCs w:val="20"/>
        </w:rPr>
        <w:t>111年10月26日臨時校務會議修正通過</w:t>
      </w:r>
    </w:p>
    <w:p w14:paraId="324E32A4" w14:textId="77777777" w:rsidR="00512847" w:rsidRPr="00DA3CD3" w:rsidRDefault="00512847" w:rsidP="00CA2CB6">
      <w:pPr>
        <w:snapToGrid w:val="0"/>
        <w:spacing w:line="360" w:lineRule="exact"/>
        <w:ind w:rightChars="49" w:right="118"/>
        <w:jc w:val="right"/>
        <w:rPr>
          <w:rFonts w:ascii="標楷體" w:eastAsia="標楷體" w:hAnsi="標楷體"/>
          <w:sz w:val="20"/>
          <w:szCs w:val="20"/>
        </w:rPr>
      </w:pPr>
      <w:r w:rsidRPr="00DA3CD3">
        <w:rPr>
          <w:rFonts w:ascii="標楷體" w:eastAsia="標楷體" w:hAnsi="標楷體" w:hint="eastAsia"/>
          <w:sz w:val="20"/>
          <w:szCs w:val="20"/>
        </w:rPr>
        <w:t>113年06月17日行政會議修正通過</w:t>
      </w:r>
    </w:p>
    <w:p w14:paraId="36CB0CB4" w14:textId="40FBCDB6" w:rsidR="008D4BD5" w:rsidRDefault="00512847" w:rsidP="00CA2CB6">
      <w:pPr>
        <w:snapToGrid w:val="0"/>
        <w:spacing w:line="360" w:lineRule="exact"/>
        <w:ind w:rightChars="49" w:right="118"/>
        <w:jc w:val="right"/>
        <w:rPr>
          <w:rFonts w:ascii="標楷體" w:eastAsia="標楷體" w:hAnsi="標楷體"/>
          <w:sz w:val="20"/>
          <w:szCs w:val="20"/>
        </w:rPr>
      </w:pPr>
      <w:r w:rsidRPr="00DA3CD3">
        <w:rPr>
          <w:rFonts w:ascii="標楷體" w:eastAsia="標楷體" w:hAnsi="標楷體" w:hint="eastAsia"/>
          <w:sz w:val="20"/>
          <w:szCs w:val="20"/>
        </w:rPr>
        <w:t>113年06月28日校務會議通過</w:t>
      </w:r>
    </w:p>
    <w:p w14:paraId="170F9B5B" w14:textId="3B8CDBC0" w:rsidR="00347A65" w:rsidRDefault="00347A65" w:rsidP="00CA2CB6">
      <w:pPr>
        <w:snapToGrid w:val="0"/>
        <w:spacing w:line="360" w:lineRule="exact"/>
        <w:ind w:rightChars="49" w:right="118"/>
        <w:jc w:val="right"/>
        <w:rPr>
          <w:rFonts w:ascii="標楷體" w:eastAsia="標楷體" w:hAnsi="標楷體"/>
          <w:sz w:val="20"/>
          <w:szCs w:val="20"/>
        </w:rPr>
      </w:pPr>
      <w:r>
        <w:rPr>
          <w:rFonts w:ascii="標楷體" w:eastAsia="標楷體" w:hAnsi="標楷體" w:hint="eastAsia"/>
          <w:sz w:val="20"/>
          <w:szCs w:val="20"/>
        </w:rPr>
        <w:t>113年09月</w:t>
      </w:r>
      <w:r w:rsidR="002A42AE">
        <w:rPr>
          <w:rFonts w:ascii="標楷體" w:eastAsia="標楷體" w:hAnsi="標楷體" w:hint="eastAsia"/>
          <w:sz w:val="20"/>
          <w:szCs w:val="20"/>
        </w:rPr>
        <w:t>30</w:t>
      </w:r>
      <w:r>
        <w:rPr>
          <w:rFonts w:ascii="標楷體" w:eastAsia="標楷體" w:hAnsi="標楷體" w:hint="eastAsia"/>
          <w:sz w:val="20"/>
          <w:szCs w:val="20"/>
        </w:rPr>
        <w:t>日擴大行政會議通過</w:t>
      </w:r>
    </w:p>
    <w:p w14:paraId="59BB6970" w14:textId="1F3F519E" w:rsidR="0045333F"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依教育部</w:t>
      </w:r>
      <w:r w:rsidRPr="00B45744">
        <w:rPr>
          <w:rFonts w:ascii="標楷體" w:eastAsia="標楷體" w:hAnsi="標楷體" w:hint="eastAsia"/>
          <w:color w:val="FF0000"/>
        </w:rPr>
        <w:t>中華民國113年8月30日</w:t>
      </w:r>
      <w:proofErr w:type="gramStart"/>
      <w:r w:rsidRPr="00B45744">
        <w:rPr>
          <w:rFonts w:ascii="標楷體" w:eastAsia="標楷體" w:hAnsi="標楷體" w:hint="eastAsia"/>
          <w:color w:val="FF0000"/>
        </w:rPr>
        <w:t>臺</w:t>
      </w:r>
      <w:proofErr w:type="gramEnd"/>
      <w:r w:rsidRPr="00B45744">
        <w:rPr>
          <w:rFonts w:ascii="標楷體" w:eastAsia="標楷體" w:hAnsi="標楷體" w:hint="eastAsia"/>
          <w:color w:val="FF0000"/>
        </w:rPr>
        <w:t>教授</w:t>
      </w:r>
      <w:proofErr w:type="gramStart"/>
      <w:r w:rsidRPr="00B45744">
        <w:rPr>
          <w:rFonts w:ascii="標楷體" w:eastAsia="標楷體" w:hAnsi="標楷體" w:hint="eastAsia"/>
          <w:color w:val="FF0000"/>
        </w:rPr>
        <w:t>國部字第1135403868</w:t>
      </w:r>
      <w:proofErr w:type="gramEnd"/>
      <w:r w:rsidRPr="00B45744">
        <w:rPr>
          <w:rFonts w:ascii="標楷體" w:eastAsia="標楷體" w:hAnsi="標楷體" w:hint="eastAsia"/>
          <w:color w:val="FF0000"/>
        </w:rPr>
        <w:t>B號</w:t>
      </w:r>
      <w:r w:rsidRPr="00512847">
        <w:rPr>
          <w:rFonts w:ascii="標楷體" w:eastAsia="標楷體" w:hAnsi="標楷體" w:hint="eastAsia"/>
        </w:rPr>
        <w:t>令「高級中等學校課業輔導實施要點」，本校為提升學生學習興趣，增進學習效能，特訂定本要點。</w:t>
      </w:r>
    </w:p>
    <w:p w14:paraId="5B2ADB96" w14:textId="2DCD222F" w:rsidR="00512847"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課業輔導係提供學生課業複習、</w:t>
      </w:r>
      <w:proofErr w:type="gramStart"/>
      <w:r w:rsidRPr="00512847">
        <w:rPr>
          <w:rFonts w:ascii="標楷體" w:eastAsia="標楷體" w:hAnsi="標楷體" w:hint="eastAsia"/>
        </w:rPr>
        <w:t>加深加廣課程</w:t>
      </w:r>
      <w:proofErr w:type="gramEnd"/>
      <w:r w:rsidRPr="00512847">
        <w:rPr>
          <w:rFonts w:ascii="標楷體" w:eastAsia="標楷體" w:hAnsi="標楷體" w:hint="eastAsia"/>
        </w:rPr>
        <w:t>之學習活動，由學生自由參加。</w:t>
      </w:r>
    </w:p>
    <w:p w14:paraId="252D2FBB" w14:textId="0F39C5AB" w:rsidR="00512847"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學生課業輔導內容，包括課業複習及相關補充課程。應與學生平時已</w:t>
      </w:r>
      <w:proofErr w:type="gramStart"/>
      <w:r w:rsidRPr="00512847">
        <w:rPr>
          <w:rFonts w:ascii="標楷體" w:eastAsia="標楷體" w:hAnsi="標楷體" w:hint="eastAsia"/>
        </w:rPr>
        <w:t>修習各科</w:t>
      </w:r>
      <w:proofErr w:type="gramEnd"/>
      <w:r w:rsidRPr="00512847">
        <w:rPr>
          <w:rFonts w:ascii="標楷體" w:eastAsia="標楷體" w:hAnsi="標楷體" w:hint="eastAsia"/>
        </w:rPr>
        <w:t>課程有關，不得提前講授課程進度。另得適度安排藝文活動。</w:t>
      </w:r>
    </w:p>
    <w:p w14:paraId="64DE7B34" w14:textId="77777777" w:rsidR="00512847"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學校公告課業輔導實施計畫後，應檢附課業輔導實施計畫及家長同意書，通知學生家長，徵詢學生參加之意願。學生已成年者，前項家長同意書應改為學生同意書，徵詢其參加之意願，並知會家長。前二項為同意參加者，學校始得收取課業輔導費。</w:t>
      </w:r>
    </w:p>
    <w:p w14:paraId="081314CE" w14:textId="3511A75D" w:rsidR="00512847"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本校於學期中辦理之課業輔導，應安排於每日正式課程之後；輔導課程結束時間，不得逾十七時三十分。前項輔導課程，每週不得逾五日，全學期不得逾九十節，且不得於國定假日及例假日實施。寒假之輔導課程，總計不得逾四十節；暑假之輔導課程，總計不得逾一百二十節。前述所定之節，每節為五十分鐘。</w:t>
      </w:r>
    </w:p>
    <w:p w14:paraId="7C6B7E42" w14:textId="7F7D42A7" w:rsidR="00512847" w:rsidRP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本校辦理課業輔導，應注意學生之安全，並依學校之常規管理；導師應加強學生之生活輔導。</w:t>
      </w:r>
    </w:p>
    <w:p w14:paraId="31A541B0" w14:textId="400F763B" w:rsid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本校應就課業輔導教材，編選補充教材，印發講義應用，並不得另外收取教材或講義費用。</w:t>
      </w:r>
    </w:p>
    <w:p w14:paraId="4C32C940" w14:textId="77777777" w:rsidR="00512847" w:rsidRDefault="00512847" w:rsidP="006D0C0B">
      <w:pPr>
        <w:pStyle w:val="a3"/>
        <w:numPr>
          <w:ilvl w:val="0"/>
          <w:numId w:val="1"/>
        </w:numPr>
        <w:ind w:leftChars="0"/>
        <w:jc w:val="both"/>
        <w:rPr>
          <w:rFonts w:ascii="標楷體" w:eastAsia="標楷體" w:hAnsi="標楷體"/>
        </w:rPr>
      </w:pPr>
      <w:r w:rsidRPr="00512847">
        <w:rPr>
          <w:rFonts w:ascii="標楷體" w:eastAsia="標楷體" w:hAnsi="標楷體" w:hint="eastAsia"/>
        </w:rPr>
        <w:t>本校收取課業輔導費用，應依高級中等學校向學生收取費用辦法及教育部主管高級中等學校向學生收取費用補充規定辦理，並以自給自足為原則。</w:t>
      </w:r>
    </w:p>
    <w:p w14:paraId="2C378469" w14:textId="535F6F3B" w:rsidR="00512847" w:rsidRDefault="00512847" w:rsidP="006D0C0B">
      <w:pPr>
        <w:pStyle w:val="a3"/>
        <w:ind w:leftChars="0"/>
        <w:jc w:val="both"/>
        <w:rPr>
          <w:rFonts w:ascii="標楷體" w:eastAsia="標楷體" w:hAnsi="標楷體"/>
        </w:rPr>
      </w:pPr>
      <w:r w:rsidRPr="00512847">
        <w:rPr>
          <w:rFonts w:ascii="標楷體" w:eastAsia="標楷體" w:hAnsi="標楷體" w:hint="eastAsia"/>
        </w:rPr>
        <w:t>課業輔導費用收費標準如下：</w:t>
      </w:r>
    </w:p>
    <w:p w14:paraId="0F3B1DD4" w14:textId="57E57250" w:rsidR="00512847" w:rsidRDefault="00512847" w:rsidP="006D0C0B">
      <w:pPr>
        <w:pStyle w:val="a3"/>
        <w:numPr>
          <w:ilvl w:val="1"/>
          <w:numId w:val="1"/>
        </w:numPr>
        <w:ind w:leftChars="0"/>
        <w:jc w:val="both"/>
        <w:rPr>
          <w:rFonts w:ascii="標楷體" w:eastAsia="標楷體" w:hAnsi="標楷體"/>
        </w:rPr>
      </w:pPr>
      <w:r w:rsidRPr="00512847">
        <w:rPr>
          <w:rFonts w:ascii="標楷體" w:eastAsia="標楷體" w:hAnsi="標楷體" w:hint="eastAsia"/>
        </w:rPr>
        <w:t>學期中課業輔導費用</w:t>
      </w:r>
      <w:r>
        <w:rPr>
          <w:rFonts w:ascii="標楷體" w:eastAsia="標楷體" w:hAnsi="標楷體" w:hint="eastAsia"/>
        </w:rPr>
        <w:t>：</w:t>
      </w:r>
      <w:r w:rsidRPr="00512847">
        <w:rPr>
          <w:rFonts w:ascii="標楷體" w:eastAsia="標楷體" w:hAnsi="標楷體" w:hint="eastAsia"/>
        </w:rPr>
        <w:t>每人</w:t>
      </w:r>
      <w:proofErr w:type="gramStart"/>
      <w:r w:rsidRPr="00512847">
        <w:rPr>
          <w:rFonts w:ascii="標楷體" w:eastAsia="標楷體" w:hAnsi="標楷體" w:hint="eastAsia"/>
        </w:rPr>
        <w:t>每節收新</w:t>
      </w:r>
      <w:proofErr w:type="gramEnd"/>
      <w:r w:rsidRPr="00512847">
        <w:rPr>
          <w:rFonts w:ascii="標楷體" w:eastAsia="標楷體" w:hAnsi="標楷體" w:hint="eastAsia"/>
        </w:rPr>
        <w:t>臺幣十五元至</w:t>
      </w:r>
      <w:r w:rsidRPr="008D4BD5">
        <w:rPr>
          <w:rFonts w:ascii="標楷體" w:eastAsia="標楷體" w:hAnsi="標楷體" w:hint="eastAsia"/>
          <w:color w:val="FF0000"/>
        </w:rPr>
        <w:t>三十五元</w:t>
      </w:r>
      <w:r w:rsidRPr="00512847">
        <w:rPr>
          <w:rFonts w:ascii="標楷體" w:eastAsia="標楷體" w:hAnsi="標楷體" w:hint="eastAsia"/>
        </w:rPr>
        <w:t>間。收費上限為新臺幣一千八百元，家境清寒學生界定為低收入戶學生，予以減免半額課業輔導費用。</w:t>
      </w:r>
    </w:p>
    <w:p w14:paraId="185F4F24" w14:textId="4730DDE6" w:rsidR="006D0C0B" w:rsidRDefault="006D0C0B" w:rsidP="006D0C0B">
      <w:pPr>
        <w:pStyle w:val="a3"/>
        <w:numPr>
          <w:ilvl w:val="1"/>
          <w:numId w:val="1"/>
        </w:numPr>
        <w:ind w:leftChars="0"/>
        <w:jc w:val="both"/>
        <w:rPr>
          <w:rFonts w:ascii="標楷體" w:eastAsia="標楷體" w:hAnsi="標楷體"/>
        </w:rPr>
      </w:pPr>
      <w:r w:rsidRPr="006D0C0B">
        <w:rPr>
          <w:rFonts w:ascii="標楷體" w:eastAsia="標楷體" w:hAnsi="標楷體" w:hint="eastAsia"/>
        </w:rPr>
        <w:t>暑假課業輔導費用：</w:t>
      </w:r>
    </w:p>
    <w:p w14:paraId="38BD9453" w14:textId="306AF626" w:rsidR="006D0C0B" w:rsidRDefault="006D0C0B" w:rsidP="006D0C0B">
      <w:pPr>
        <w:pStyle w:val="a3"/>
        <w:numPr>
          <w:ilvl w:val="2"/>
          <w:numId w:val="1"/>
        </w:numPr>
        <w:ind w:leftChars="0" w:left="1218" w:hanging="258"/>
        <w:jc w:val="both"/>
        <w:rPr>
          <w:rFonts w:ascii="標楷體" w:eastAsia="標楷體" w:hAnsi="標楷體"/>
        </w:rPr>
      </w:pPr>
      <w:r w:rsidRPr="006D0C0B">
        <w:rPr>
          <w:rFonts w:ascii="標楷體" w:eastAsia="標楷體" w:hAnsi="標楷體" w:hint="eastAsia"/>
        </w:rPr>
        <w:t>高一學生學習扶助暑期輔導費用：除教育部補助之共同科目外，其餘共同科目之輔導費用，每人</w:t>
      </w:r>
      <w:proofErr w:type="gramStart"/>
      <w:r w:rsidRPr="006D0C0B">
        <w:rPr>
          <w:rFonts w:ascii="標楷體" w:eastAsia="標楷體" w:hAnsi="標楷體" w:hint="eastAsia"/>
        </w:rPr>
        <w:t>每節收新</w:t>
      </w:r>
      <w:proofErr w:type="gramEnd"/>
      <w:r w:rsidRPr="006D0C0B">
        <w:rPr>
          <w:rFonts w:ascii="標楷體" w:eastAsia="標楷體" w:hAnsi="標楷體" w:hint="eastAsia"/>
        </w:rPr>
        <w:t>臺幣十五至</w:t>
      </w:r>
      <w:r w:rsidRPr="008D4BD5">
        <w:rPr>
          <w:rFonts w:ascii="標楷體" w:eastAsia="標楷體" w:hAnsi="標楷體" w:hint="eastAsia"/>
          <w:color w:val="FF0000"/>
        </w:rPr>
        <w:t>三十五元</w:t>
      </w:r>
      <w:r w:rsidRPr="006D0C0B">
        <w:rPr>
          <w:rFonts w:ascii="標楷體" w:eastAsia="標楷體" w:hAnsi="標楷體" w:hint="eastAsia"/>
        </w:rPr>
        <w:t>間。</w:t>
      </w:r>
    </w:p>
    <w:p w14:paraId="20958D4E" w14:textId="77777777" w:rsidR="006D0C0B" w:rsidRDefault="006D0C0B" w:rsidP="006D0C0B">
      <w:pPr>
        <w:pStyle w:val="a3"/>
        <w:numPr>
          <w:ilvl w:val="2"/>
          <w:numId w:val="1"/>
        </w:numPr>
        <w:ind w:leftChars="0" w:left="1218" w:hanging="258"/>
        <w:jc w:val="both"/>
        <w:rPr>
          <w:rFonts w:ascii="標楷體" w:eastAsia="標楷體" w:hAnsi="標楷體"/>
        </w:rPr>
      </w:pPr>
      <w:r>
        <w:rPr>
          <w:rFonts w:ascii="標楷體" w:eastAsia="標楷體" w:hAnsi="標楷體" w:hint="eastAsia"/>
        </w:rPr>
        <w:t>高</w:t>
      </w:r>
      <w:r w:rsidRPr="006D0C0B">
        <w:rPr>
          <w:rFonts w:ascii="標楷體" w:eastAsia="標楷體" w:hAnsi="標楷體" w:hint="eastAsia"/>
        </w:rPr>
        <w:t>二及高三學生暑期課業輔導費用：每人</w:t>
      </w:r>
      <w:proofErr w:type="gramStart"/>
      <w:r w:rsidRPr="006D0C0B">
        <w:rPr>
          <w:rFonts w:ascii="標楷體" w:eastAsia="標楷體" w:hAnsi="標楷體" w:hint="eastAsia"/>
        </w:rPr>
        <w:t>每節收新</w:t>
      </w:r>
      <w:proofErr w:type="gramEnd"/>
      <w:r w:rsidRPr="006D0C0B">
        <w:rPr>
          <w:rFonts w:ascii="標楷體" w:eastAsia="標楷體" w:hAnsi="標楷體" w:hint="eastAsia"/>
        </w:rPr>
        <w:t>臺幣十五元至</w:t>
      </w:r>
      <w:r w:rsidRPr="008D4BD5">
        <w:rPr>
          <w:rFonts w:ascii="標楷體" w:eastAsia="標楷體" w:hAnsi="標楷體" w:hint="eastAsia"/>
          <w:color w:val="FF0000"/>
        </w:rPr>
        <w:t>三十五元</w:t>
      </w:r>
      <w:r w:rsidRPr="006D0C0B">
        <w:rPr>
          <w:rFonts w:ascii="標楷體" w:eastAsia="標楷體" w:hAnsi="標楷體" w:hint="eastAsia"/>
        </w:rPr>
        <w:t>間。收費上限為新臺幣二千四百元，家境清寒學生界定為低收入戶學生，予以減免半額課業輔導費用。</w:t>
      </w:r>
    </w:p>
    <w:p w14:paraId="37F3ED8B" w14:textId="325B0277" w:rsidR="006D0C0B" w:rsidRDefault="006D0C0B" w:rsidP="006D0C0B">
      <w:pPr>
        <w:pStyle w:val="a3"/>
        <w:numPr>
          <w:ilvl w:val="0"/>
          <w:numId w:val="1"/>
        </w:numPr>
        <w:ind w:leftChars="0"/>
        <w:jc w:val="both"/>
        <w:rPr>
          <w:rFonts w:ascii="標楷體" w:eastAsia="標楷體" w:hAnsi="標楷體"/>
        </w:rPr>
      </w:pPr>
      <w:r w:rsidRPr="006D0C0B">
        <w:rPr>
          <w:rFonts w:ascii="標楷體" w:eastAsia="標楷體" w:hAnsi="標楷體" w:hint="eastAsia"/>
        </w:rPr>
        <w:t>課業輔導費用支用項目及基準如下：</w:t>
      </w:r>
    </w:p>
    <w:p w14:paraId="687A579C" w14:textId="5B73001D" w:rsidR="006D0C0B" w:rsidRDefault="006D0C0B" w:rsidP="006D0C0B">
      <w:pPr>
        <w:pStyle w:val="a3"/>
        <w:numPr>
          <w:ilvl w:val="1"/>
          <w:numId w:val="1"/>
        </w:numPr>
        <w:ind w:leftChars="0"/>
        <w:jc w:val="both"/>
        <w:rPr>
          <w:rFonts w:ascii="標楷體" w:eastAsia="標楷體" w:hAnsi="標楷體"/>
        </w:rPr>
      </w:pPr>
      <w:r w:rsidRPr="006D0C0B">
        <w:rPr>
          <w:rFonts w:ascii="標楷體" w:eastAsia="標楷體" w:hAnsi="標楷體" w:hint="eastAsia"/>
        </w:rPr>
        <w:t>教師鐘點費：每節得於公立中小學兼任及代課教師鐘點費支給基準 表之高級中等學校支給數額至五百五十元額度內核實支給，其支用不得低於所收費用總額百分之八十；其低於百分之八十者，賸餘款應發還學生。</w:t>
      </w:r>
    </w:p>
    <w:p w14:paraId="65D84E78" w14:textId="28C13BC0" w:rsidR="006D0C0B" w:rsidRDefault="006D0C0B" w:rsidP="006D0C0B">
      <w:pPr>
        <w:pStyle w:val="a3"/>
        <w:numPr>
          <w:ilvl w:val="1"/>
          <w:numId w:val="1"/>
        </w:numPr>
        <w:ind w:leftChars="0"/>
        <w:jc w:val="both"/>
        <w:rPr>
          <w:rFonts w:ascii="標楷體" w:eastAsia="標楷體" w:hAnsi="標楷體"/>
        </w:rPr>
      </w:pPr>
      <w:r w:rsidRPr="006D0C0B">
        <w:rPr>
          <w:rFonts w:ascii="標楷體" w:eastAsia="標楷體" w:hAnsi="標楷體" w:hint="eastAsia"/>
        </w:rPr>
        <w:t>教學活動業務費：得支用於支援教學活動之業務費、教材印製或購買費、材料費、學生獎勵金、行政管理及加班費，其支用</w:t>
      </w:r>
      <w:proofErr w:type="gramStart"/>
      <w:r w:rsidRPr="006D0C0B">
        <w:rPr>
          <w:rFonts w:ascii="標楷體" w:eastAsia="標楷體" w:hAnsi="標楷體" w:hint="eastAsia"/>
        </w:rPr>
        <w:t>不得逾所收費</w:t>
      </w:r>
      <w:proofErr w:type="gramEnd"/>
      <w:r w:rsidRPr="006D0C0B">
        <w:rPr>
          <w:rFonts w:ascii="標楷體" w:eastAsia="標楷體" w:hAnsi="標楷體" w:hint="eastAsia"/>
        </w:rPr>
        <w:t>用總額百分之二十；賸餘款</w:t>
      </w:r>
      <w:proofErr w:type="gramStart"/>
      <w:r w:rsidRPr="006D0C0B">
        <w:rPr>
          <w:rFonts w:ascii="標楷體" w:eastAsia="標楷體" w:hAnsi="標楷體" w:hint="eastAsia"/>
        </w:rPr>
        <w:t>得滾存作為</w:t>
      </w:r>
      <w:proofErr w:type="gramEnd"/>
      <w:r w:rsidRPr="006D0C0B">
        <w:rPr>
          <w:rFonts w:ascii="標楷體" w:eastAsia="標楷體" w:hAnsi="標楷體" w:hint="eastAsia"/>
        </w:rPr>
        <w:t>改善學</w:t>
      </w:r>
      <w:r w:rsidRPr="006D0C0B">
        <w:rPr>
          <w:rFonts w:ascii="標楷體" w:eastAsia="標楷體" w:hAnsi="標楷體" w:hint="eastAsia"/>
        </w:rPr>
        <w:lastRenderedPageBreak/>
        <w:t>校基本設施或充實教學設備之用。</w:t>
      </w:r>
    </w:p>
    <w:p w14:paraId="181E03E1" w14:textId="1CFD1E32" w:rsidR="006D0C0B" w:rsidRPr="00266D13" w:rsidRDefault="006D0C0B" w:rsidP="008D4BD5">
      <w:pPr>
        <w:pStyle w:val="a3"/>
        <w:jc w:val="both"/>
        <w:rPr>
          <w:rFonts w:ascii="標楷體" w:eastAsia="標楷體" w:hAnsi="標楷體"/>
          <w:color w:val="FF0000"/>
        </w:rPr>
      </w:pPr>
      <w:r w:rsidRPr="00266D13">
        <w:rPr>
          <w:rFonts w:ascii="標楷體" w:eastAsia="標楷體" w:hAnsi="標楷體" w:hint="eastAsia"/>
          <w:color w:val="FF0000"/>
        </w:rPr>
        <w:t>前項支用項目之用途，學校於收支平衡下，應優先支給教師最高數額之教師鐘點費，且不得另以其他名目，向學生收取費用。</w:t>
      </w:r>
    </w:p>
    <w:p w14:paraId="1FD66BDF" w14:textId="545B5E42" w:rsidR="006D0C0B" w:rsidRDefault="006D0C0B" w:rsidP="006D0C0B">
      <w:pPr>
        <w:pStyle w:val="a3"/>
        <w:numPr>
          <w:ilvl w:val="0"/>
          <w:numId w:val="1"/>
        </w:numPr>
        <w:ind w:leftChars="0"/>
        <w:jc w:val="both"/>
        <w:rPr>
          <w:rFonts w:ascii="標楷體" w:eastAsia="標楷體" w:hAnsi="標楷體"/>
        </w:rPr>
      </w:pPr>
      <w:r w:rsidRPr="006D0C0B">
        <w:rPr>
          <w:rFonts w:ascii="標楷體" w:eastAsia="標楷體" w:hAnsi="標楷體" w:hint="eastAsia"/>
        </w:rPr>
        <w:t>學校實施課業輔導，應依教育部主管高級中等學校課業輔導實施正常化檢核表（如附件），適時進行自我檢核，並於各該檢核項目發生後二</w:t>
      </w:r>
      <w:proofErr w:type="gramStart"/>
      <w:r w:rsidRPr="006D0C0B">
        <w:rPr>
          <w:rFonts w:ascii="標楷體" w:eastAsia="標楷體" w:hAnsi="標楷體" w:hint="eastAsia"/>
        </w:rPr>
        <w:t>週</w:t>
      </w:r>
      <w:proofErr w:type="gramEnd"/>
      <w:r w:rsidRPr="006D0C0B">
        <w:rPr>
          <w:rFonts w:ascii="標楷體" w:eastAsia="標楷體" w:hAnsi="標楷體" w:hint="eastAsia"/>
        </w:rPr>
        <w:t>內，公告於學校網站首頁。</w:t>
      </w:r>
    </w:p>
    <w:p w14:paraId="503BDC8C" w14:textId="5A36C787" w:rsidR="006D0C0B" w:rsidRDefault="006D0C0B" w:rsidP="006D0C0B">
      <w:pPr>
        <w:pStyle w:val="a3"/>
        <w:numPr>
          <w:ilvl w:val="0"/>
          <w:numId w:val="1"/>
        </w:numPr>
        <w:ind w:leftChars="0"/>
        <w:jc w:val="both"/>
        <w:rPr>
          <w:rFonts w:ascii="標楷體" w:eastAsia="標楷體" w:hAnsi="標楷體"/>
        </w:rPr>
      </w:pPr>
      <w:r w:rsidRPr="006D0C0B">
        <w:rPr>
          <w:rFonts w:ascii="標楷體" w:eastAsia="標楷體" w:hAnsi="標楷體" w:hint="eastAsia"/>
        </w:rPr>
        <w:t>本校應於課業輔導活動結束後進行檢討，作為下次辦理之改進依據。</w:t>
      </w:r>
    </w:p>
    <w:p w14:paraId="02916009" w14:textId="06FD0F00" w:rsidR="006D0C0B" w:rsidRPr="006D0C0B" w:rsidRDefault="006D0C0B" w:rsidP="006D0C0B">
      <w:pPr>
        <w:pStyle w:val="a3"/>
        <w:numPr>
          <w:ilvl w:val="0"/>
          <w:numId w:val="1"/>
        </w:numPr>
        <w:ind w:leftChars="0" w:left="709" w:hanging="702"/>
        <w:jc w:val="both"/>
        <w:rPr>
          <w:rFonts w:ascii="標楷體" w:eastAsia="標楷體" w:hAnsi="標楷體"/>
        </w:rPr>
      </w:pPr>
      <w:r w:rsidRPr="006D0C0B">
        <w:rPr>
          <w:rFonts w:ascii="標楷體" w:eastAsia="標楷體" w:hAnsi="標楷體" w:hint="eastAsia"/>
        </w:rPr>
        <w:t>本校得依本實施計畫訂定補充規定，並提行政會議與校務會議通過後，並追朔至當學年度，修正時亦同。</w:t>
      </w:r>
    </w:p>
    <w:sectPr w:rsidR="006D0C0B" w:rsidRPr="006D0C0B" w:rsidSect="00512847">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644D" w14:textId="77777777" w:rsidR="0011676E" w:rsidRDefault="0011676E" w:rsidP="00D66752">
      <w:r>
        <w:separator/>
      </w:r>
    </w:p>
  </w:endnote>
  <w:endnote w:type="continuationSeparator" w:id="0">
    <w:p w14:paraId="5D345829" w14:textId="77777777" w:rsidR="0011676E" w:rsidRDefault="0011676E" w:rsidP="00D6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2753" w14:textId="77777777" w:rsidR="0011676E" w:rsidRDefault="0011676E" w:rsidP="00D66752">
      <w:r>
        <w:separator/>
      </w:r>
    </w:p>
  </w:footnote>
  <w:footnote w:type="continuationSeparator" w:id="0">
    <w:p w14:paraId="45B2E4BA" w14:textId="77777777" w:rsidR="0011676E" w:rsidRDefault="0011676E" w:rsidP="00D66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E380" w14:textId="2A81953C" w:rsidR="00D66752" w:rsidRDefault="00D66752">
    <w:pPr>
      <w:pStyle w:val="a4"/>
    </w:pPr>
    <w:r>
      <w:rPr>
        <w:rFonts w:hint="eastAsia"/>
      </w:rPr>
      <w:t>113-</w:t>
    </w:r>
    <w:r>
      <w:t>aca-02-307-001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832"/>
    <w:multiLevelType w:val="hybridMultilevel"/>
    <w:tmpl w:val="261E933A"/>
    <w:lvl w:ilvl="0" w:tplc="28F25812">
      <w:start w:val="1"/>
      <w:numFmt w:val="taiwaneseCountingThousand"/>
      <w:suff w:val="nothing"/>
      <w:lvlText w:val="%1、"/>
      <w:lvlJc w:val="left"/>
      <w:pPr>
        <w:ind w:left="480" w:hanging="480"/>
      </w:pPr>
      <w:rPr>
        <w:rFonts w:hint="eastAsia"/>
      </w:rPr>
    </w:lvl>
    <w:lvl w:ilvl="1" w:tplc="4014CE06">
      <w:start w:val="1"/>
      <w:numFmt w:val="taiwaneseCountingThousand"/>
      <w:lvlText w:val="(%2)"/>
      <w:lvlJc w:val="left"/>
      <w:pPr>
        <w:ind w:left="960" w:hanging="480"/>
      </w:pPr>
      <w:rPr>
        <w:rFonts w:hint="eastAsia"/>
      </w:rPr>
    </w:lvl>
    <w:lvl w:ilvl="2" w:tplc="4702AED0">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B36257"/>
    <w:multiLevelType w:val="hybridMultilevel"/>
    <w:tmpl w:val="C6DA4E74"/>
    <w:lvl w:ilvl="0" w:tplc="04090015">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BC70D5"/>
    <w:multiLevelType w:val="hybridMultilevel"/>
    <w:tmpl w:val="DFE4D1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36F2D81"/>
    <w:multiLevelType w:val="hybridMultilevel"/>
    <w:tmpl w:val="DFFC477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753B3986"/>
    <w:multiLevelType w:val="hybridMultilevel"/>
    <w:tmpl w:val="0C4C304A"/>
    <w:lvl w:ilvl="0" w:tplc="4702AED0">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47"/>
    <w:rsid w:val="00054ACD"/>
    <w:rsid w:val="0011676E"/>
    <w:rsid w:val="00266D13"/>
    <w:rsid w:val="00271911"/>
    <w:rsid w:val="002A42AE"/>
    <w:rsid w:val="00337E86"/>
    <w:rsid w:val="00347A65"/>
    <w:rsid w:val="0045333F"/>
    <w:rsid w:val="00512847"/>
    <w:rsid w:val="006D0C0B"/>
    <w:rsid w:val="008D4BD5"/>
    <w:rsid w:val="00B45744"/>
    <w:rsid w:val="00CA2CB6"/>
    <w:rsid w:val="00D6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E77E8"/>
  <w15:chartTrackingRefBased/>
  <w15:docId w15:val="{19D99B07-33A5-4037-AA71-2999FC84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84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847"/>
    <w:pPr>
      <w:ind w:leftChars="200" w:left="480"/>
    </w:pPr>
  </w:style>
  <w:style w:type="paragraph" w:styleId="a4">
    <w:name w:val="header"/>
    <w:basedOn w:val="a"/>
    <w:link w:val="a5"/>
    <w:uiPriority w:val="99"/>
    <w:unhideWhenUsed/>
    <w:rsid w:val="00D66752"/>
    <w:pPr>
      <w:tabs>
        <w:tab w:val="center" w:pos="4153"/>
        <w:tab w:val="right" w:pos="8306"/>
      </w:tabs>
      <w:snapToGrid w:val="0"/>
    </w:pPr>
    <w:rPr>
      <w:sz w:val="20"/>
      <w:szCs w:val="20"/>
    </w:rPr>
  </w:style>
  <w:style w:type="character" w:customStyle="1" w:styleId="a5">
    <w:name w:val="頁首 字元"/>
    <w:basedOn w:val="a0"/>
    <w:link w:val="a4"/>
    <w:uiPriority w:val="99"/>
    <w:rsid w:val="00D66752"/>
    <w:rPr>
      <w:rFonts w:ascii="Times New Roman" w:eastAsia="新細明體" w:hAnsi="Times New Roman" w:cs="Times New Roman"/>
      <w:sz w:val="20"/>
      <w:szCs w:val="20"/>
    </w:rPr>
  </w:style>
  <w:style w:type="paragraph" w:styleId="a6">
    <w:name w:val="footer"/>
    <w:basedOn w:val="a"/>
    <w:link w:val="a7"/>
    <w:uiPriority w:val="99"/>
    <w:unhideWhenUsed/>
    <w:rsid w:val="00D66752"/>
    <w:pPr>
      <w:tabs>
        <w:tab w:val="center" w:pos="4153"/>
        <w:tab w:val="right" w:pos="8306"/>
      </w:tabs>
      <w:snapToGrid w:val="0"/>
    </w:pPr>
    <w:rPr>
      <w:sz w:val="20"/>
      <w:szCs w:val="20"/>
    </w:rPr>
  </w:style>
  <w:style w:type="character" w:customStyle="1" w:styleId="a7">
    <w:name w:val="頁尾 字元"/>
    <w:basedOn w:val="a0"/>
    <w:link w:val="a6"/>
    <w:uiPriority w:val="99"/>
    <w:rsid w:val="00D667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2025-02-18T07:46:00Z</dcterms:created>
  <dcterms:modified xsi:type="dcterms:W3CDTF">2025-02-18T07:46:00Z</dcterms:modified>
</cp:coreProperties>
</file>